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8"/>
        <w:gridCol w:w="1557"/>
        <w:gridCol w:w="814"/>
        <w:gridCol w:w="1592"/>
        <w:gridCol w:w="1839"/>
        <w:gridCol w:w="862"/>
        <w:gridCol w:w="1119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2414EE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0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b/>
              </w:rPr>
              <w:t>Dokumen</w:t>
            </w:r>
            <w:proofErr w:type="spellEnd"/>
          </w:p>
        </w:tc>
      </w:tr>
      <w:tr w:rsidR="008041F3" w14:paraId="41ADC742" w14:textId="77777777" w:rsidTr="002414EE">
        <w:tc>
          <w:tcPr>
            <w:tcW w:w="15734" w:type="dxa"/>
            <w:gridSpan w:val="14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414EE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8041F3" w14:paraId="55B4C2E3" w14:textId="77777777" w:rsidTr="002414EE">
        <w:tc>
          <w:tcPr>
            <w:tcW w:w="4643" w:type="dxa"/>
            <w:gridSpan w:val="4"/>
            <w:shd w:val="clear" w:color="auto" w:fill="auto"/>
          </w:tcPr>
          <w:p w14:paraId="18904EC7" w14:textId="60B9E47F" w:rsidR="008041F3" w:rsidRDefault="006E5A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SEMANTIK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BAHASA INDONESIA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07D4AC38" w:rsidR="008041F3" w:rsidRPr="00F2219B" w:rsidRDefault="00CC1C8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C1C87">
              <w:rPr>
                <w:rFonts w:asciiTheme="minorHAnsi" w:eastAsia="Calibri" w:hAnsiTheme="minorHAnsi" w:cstheme="minorHAnsi"/>
                <w:sz w:val="22"/>
                <w:szCs w:val="22"/>
              </w:rPr>
              <w:t>132422125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1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77777777" w:rsidR="008041F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 FEBRUARI 2023</w:t>
            </w:r>
          </w:p>
        </w:tc>
      </w:tr>
      <w:tr w:rsidR="008041F3" w14:paraId="7CBB5E71" w14:textId="77777777" w:rsidTr="002414EE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3969" w:type="dxa"/>
            <w:gridSpan w:val="5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PRODI</w:t>
            </w:r>
          </w:p>
        </w:tc>
      </w:tr>
      <w:tr w:rsidR="008041F3" w14:paraId="168BD181" w14:textId="77777777" w:rsidTr="002414EE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Yeni Ernawati,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5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Yeni Ernawati,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Dr. Hastari Mayrita,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41F3" w14:paraId="7BC265DC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dibebankan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pada MK       </w:t>
            </w:r>
          </w:p>
        </w:tc>
        <w:tc>
          <w:tcPr>
            <w:tcW w:w="7654" w:type="dxa"/>
            <w:gridSpan w:val="8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2219B" w14:paraId="60100EF7" w14:textId="77777777" w:rsidTr="006A04BF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  <w:vAlign w:val="center"/>
          </w:tcPr>
          <w:p w14:paraId="57A7EBDB" w14:textId="73533CD6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Menjunjung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bermoral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kehidupan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kepribadian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pribadi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sosial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berdasarkan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nilai-nilai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Agama dan Pancasila</w:t>
            </w:r>
          </w:p>
        </w:tc>
      </w:tr>
      <w:tr w:rsidR="00F2219B" w14:paraId="25AF277B" w14:textId="77777777" w:rsidTr="00167CAA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</w:tcPr>
          <w:p w14:paraId="61DE3BF6" w14:textId="790E31BC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Memiliki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profesioanal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pekerjaannya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sastra,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pengajarannya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mandiri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maupun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kelompok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menerapkan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2219B" w14:paraId="2680203E" w14:textId="77777777" w:rsidTr="00AF04D5"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bottom w:val="nil"/>
            </w:tcBorders>
          </w:tcPr>
          <w:p w14:paraId="1A32B616" w14:textId="2D93FF71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konsep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dasar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kebahasaan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kesastraan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keterampilan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literasi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pendidikan</w:t>
            </w:r>
            <w:proofErr w:type="spellEnd"/>
          </w:p>
        </w:tc>
      </w:tr>
      <w:tr w:rsidR="00CC1C87" w14:paraId="3B06C665" w14:textId="77777777" w:rsidTr="00CC1C87">
        <w:trPr>
          <w:trHeight w:val="311"/>
        </w:trPr>
        <w:tc>
          <w:tcPr>
            <w:tcW w:w="2268" w:type="dxa"/>
            <w:gridSpan w:val="2"/>
            <w:vMerge/>
            <w:shd w:val="clear" w:color="auto" w:fill="auto"/>
          </w:tcPr>
          <w:p w14:paraId="1C61B17C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11A32673" w14:textId="630E09C2" w:rsidR="00CC1C87" w:rsidRPr="00FB5CF6" w:rsidRDefault="00CC1C87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CPL 4 </w:t>
            </w:r>
            <w:r w:rsidRP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Menguasai dasar-dasar metodologi penelitian pendidikan bahasa dan sastra Indonesia</w:t>
            </w:r>
          </w:p>
        </w:tc>
      </w:tr>
      <w:tr w:rsidR="00F2219B" w14:paraId="03D525A4" w14:textId="77777777" w:rsidTr="007C5190">
        <w:trPr>
          <w:trHeight w:val="478"/>
        </w:trPr>
        <w:tc>
          <w:tcPr>
            <w:tcW w:w="2268" w:type="dxa"/>
            <w:gridSpan w:val="2"/>
            <w:vMerge/>
            <w:shd w:val="clear" w:color="auto" w:fill="auto"/>
          </w:tcPr>
          <w:p w14:paraId="197EC8C5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bottom w:val="nil"/>
            </w:tcBorders>
          </w:tcPr>
          <w:p w14:paraId="14DD2B5C" w14:textId="4DAEB6E3" w:rsidR="00F2219B" w:rsidRDefault="00F2219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menunjukkan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kinerja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mandiri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bermutu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terukur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mengimplementasikan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ilmu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pengetahuan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teknologi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memperhatikan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nilai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humaniora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serta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sesuai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keahliannya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C1C87" w14:paraId="5CF6FD97" w14:textId="77777777" w:rsidTr="00CC1C87">
        <w:trPr>
          <w:trHeight w:val="578"/>
        </w:trPr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A753173" w14:textId="3533C7AD" w:rsidR="00CC1C87" w:rsidRDefault="00CC1C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menyusun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saintifik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kajian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mengunggahnya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seminar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laman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perguruan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C1C87" w14:paraId="6215C102" w14:textId="77777777" w:rsidTr="00CC1C87">
        <w:trPr>
          <w:trHeight w:val="275"/>
        </w:trPr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552AB2AF" w14:textId="6F7A408B" w:rsidR="00CC1C87" w:rsidRDefault="00CC1C87" w:rsidP="00A3755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10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berbahasa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bersastra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beragam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genre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terampil</w:t>
            </w:r>
            <w:proofErr w:type="spellEnd"/>
          </w:p>
        </w:tc>
      </w:tr>
      <w:tr w:rsidR="00F2219B" w14:paraId="0920D4DE" w14:textId="77777777" w:rsidTr="00403FE3">
        <w:tc>
          <w:tcPr>
            <w:tcW w:w="2268" w:type="dxa"/>
            <w:gridSpan w:val="2"/>
            <w:vMerge/>
            <w:shd w:val="clear" w:color="auto" w:fill="auto"/>
          </w:tcPr>
          <w:p w14:paraId="4C17FD7C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5506ADF" w14:textId="1E8005A0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mempraktikkan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keterampilan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berbahasa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kebahasaan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kesastraan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kejurnalistikkan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bipa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-an,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penulisan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buku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fiksi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nonfiksi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penerjemahan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kehumasan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dan/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atau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bidang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lainnya</w:t>
            </w:r>
            <w:proofErr w:type="spellEnd"/>
            <w:r w:rsidR="00CC1C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041F3" w14:paraId="53D5AEAD" w14:textId="77777777" w:rsidTr="002414EE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(CPMK)</w:t>
            </w:r>
          </w:p>
        </w:tc>
        <w:tc>
          <w:tcPr>
            <w:tcW w:w="7654" w:type="dxa"/>
            <w:gridSpan w:val="8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06" w:type="dxa"/>
            <w:gridSpan w:val="11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Menghargai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keanekaragaman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budaya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pandangan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agama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kepercayaan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pendapat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temuan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orisinal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lain</w:t>
            </w:r>
          </w:p>
        </w:tc>
      </w:tr>
      <w:tr w:rsidR="008041F3" w14:paraId="7DE01D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06" w:type="dxa"/>
            <w:gridSpan w:val="11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bekerjasama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memiliki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kepekaan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sosial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kepedulian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lingkungan</w:t>
            </w:r>
            <w:proofErr w:type="spellEnd"/>
          </w:p>
        </w:tc>
      </w:tr>
      <w:tr w:rsidR="008041F3" w14:paraId="6AC5B90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06" w:type="dxa"/>
            <w:gridSpan w:val="11"/>
          </w:tcPr>
          <w:p w14:paraId="50085585" w14:textId="17F5B6CD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Menunjukkan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profesion</w:t>
            </w:r>
            <w:proofErr w:type="spellEnd"/>
            <w:r w:rsidR="00C453E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bertanggungjawab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pekerjaan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sastra Indonesia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mandiri</w:t>
            </w:r>
            <w:proofErr w:type="spellEnd"/>
          </w:p>
        </w:tc>
      </w:tr>
      <w:tr w:rsidR="008041F3" w14:paraId="2581AE5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10964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1906" w:type="dxa"/>
            <w:gridSpan w:val="11"/>
          </w:tcPr>
          <w:p w14:paraId="5F60F41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konsep-konsep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dasar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kebahasaan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kesastraan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keterampilan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bersastra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sastra</w:t>
            </w:r>
          </w:p>
        </w:tc>
      </w:tr>
      <w:tr w:rsidR="008041F3" w14:paraId="251693F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7B0AF79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9DCA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CPMK0302</w:t>
            </w:r>
          </w:p>
        </w:tc>
        <w:tc>
          <w:tcPr>
            <w:tcW w:w="11906" w:type="dxa"/>
            <w:gridSpan w:val="11"/>
          </w:tcPr>
          <w:p w14:paraId="51221F4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konsep-konsep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sastra Indonesia,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sastra Indonesia</w:t>
            </w:r>
          </w:p>
        </w:tc>
      </w:tr>
      <w:tr w:rsidR="008041F3" w14:paraId="363638E8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D8DF3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1906" w:type="dxa"/>
            <w:gridSpan w:val="11"/>
          </w:tcPr>
          <w:p w14:paraId="05F8D5FF" w14:textId="7AEBB7E0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konsep-konsep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dasar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literasi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sastra</w:t>
            </w:r>
            <w:r w:rsidR="00C453E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sastra Indonesia</w:t>
            </w:r>
          </w:p>
        </w:tc>
      </w:tr>
      <w:tr w:rsidR="008041F3" w14:paraId="116EDE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AF2FB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CPMK0503</w:t>
            </w:r>
          </w:p>
        </w:tc>
        <w:tc>
          <w:tcPr>
            <w:tcW w:w="11906" w:type="dxa"/>
            <w:gridSpan w:val="11"/>
          </w:tcPr>
          <w:p w14:paraId="1BC5E1A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merencanakan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penyajian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materi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efektif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inovatif</w:t>
            </w:r>
            <w:proofErr w:type="spellEnd"/>
          </w:p>
        </w:tc>
      </w:tr>
      <w:tr w:rsidR="003C4D60" w14:paraId="433420D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21FE790" w14:textId="77777777" w:rsidR="003C4D60" w:rsidRDefault="003C4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035C5F" w14:textId="5C0968A2" w:rsidR="003C4D60" w:rsidRDefault="003C4D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C4D60">
              <w:rPr>
                <w:rFonts w:ascii="Calibri" w:eastAsia="Calibri" w:hAnsi="Calibri" w:cs="Calibri"/>
                <w:sz w:val="22"/>
                <w:szCs w:val="22"/>
              </w:rPr>
              <w:t>CPMK0601</w:t>
            </w:r>
          </w:p>
        </w:tc>
        <w:tc>
          <w:tcPr>
            <w:tcW w:w="11906" w:type="dxa"/>
            <w:gridSpan w:val="11"/>
          </w:tcPr>
          <w:p w14:paraId="04FB9948" w14:textId="36D51795" w:rsidR="003C4D60" w:rsidRDefault="003C4D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Menguasai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konsep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karya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tulis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ilmiah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sesuai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pedoman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ejaan</w:t>
            </w:r>
            <w:proofErr w:type="spellEnd"/>
            <w:r w:rsidRPr="003C4D60"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 w:rsidRPr="003C4D60">
              <w:rPr>
                <w:rFonts w:ascii="Calibri" w:eastAsia="Calibri" w:hAnsi="Calibri" w:cs="Calibri"/>
                <w:sz w:val="22"/>
                <w:szCs w:val="22"/>
              </w:rPr>
              <w:t>berlaku</w:t>
            </w:r>
            <w:proofErr w:type="spellEnd"/>
          </w:p>
        </w:tc>
      </w:tr>
      <w:tr w:rsidR="005432FC" w14:paraId="00B61D94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E5DF52A" w14:textId="77777777" w:rsidR="005432FC" w:rsidRDefault="00543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931B16" w14:textId="68AFCCE3" w:rsidR="005432FC" w:rsidRPr="003C4D60" w:rsidRDefault="005432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0150">
              <w:rPr>
                <w:rFonts w:ascii="Calibri" w:hAnsi="Calibri" w:cs="Calibri"/>
                <w:color w:val="000000"/>
                <w:sz w:val="22"/>
                <w:szCs w:val="22"/>
              </w:rPr>
              <w:t>CPMK0702</w:t>
            </w:r>
          </w:p>
        </w:tc>
        <w:tc>
          <w:tcPr>
            <w:tcW w:w="11906" w:type="dxa"/>
            <w:gridSpan w:val="11"/>
          </w:tcPr>
          <w:p w14:paraId="4782D1C4" w14:textId="4B117A5C" w:rsidR="005432FC" w:rsidRPr="003C4D60" w:rsidRDefault="005432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Cakap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terampil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praktik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kebahasaan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kesastraan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maupun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kelompok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penuh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tanggung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jawab</w:t>
            </w:r>
            <w:proofErr w:type="spellEnd"/>
          </w:p>
        </w:tc>
      </w:tr>
      <w:tr w:rsidR="008041F3" w14:paraId="7D032871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39CEB5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FE5A01" w14:textId="0CDA795D" w:rsidR="008041F3" w:rsidRDefault="005432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32FC">
              <w:rPr>
                <w:rFonts w:ascii="Calibri" w:eastAsia="Calibri" w:hAnsi="Calibri" w:cs="Calibri"/>
                <w:sz w:val="22"/>
                <w:szCs w:val="22"/>
              </w:rPr>
              <w:t>CPMK1004</w:t>
            </w:r>
          </w:p>
        </w:tc>
        <w:tc>
          <w:tcPr>
            <w:tcW w:w="11906" w:type="dxa"/>
            <w:gridSpan w:val="11"/>
          </w:tcPr>
          <w:p w14:paraId="09CF9E93" w14:textId="4083B785" w:rsidR="008041F3" w:rsidRDefault="005432F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Mampu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mendokumentasikan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menyimpan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mengamankan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, dan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menemukan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kembali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data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menjamin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kesahihan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mencegah</w:t>
            </w:r>
            <w:proofErr w:type="spellEnd"/>
            <w:r w:rsidRPr="005432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432FC">
              <w:rPr>
                <w:rFonts w:ascii="Calibri" w:eastAsia="Calibri" w:hAnsi="Calibri" w:cs="Calibri"/>
                <w:sz w:val="22"/>
                <w:szCs w:val="22"/>
              </w:rPr>
              <w:t>plagiasi</w:t>
            </w:r>
            <w:proofErr w:type="spellEnd"/>
          </w:p>
        </w:tc>
      </w:tr>
      <w:tr w:rsidR="00030150" w14:paraId="56A0822C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703DFFB6" w14:textId="77777777" w:rsidR="00030150" w:rsidRDefault="00030150" w:rsidP="00030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87EBF2" w14:textId="65A088DD" w:rsidR="00030150" w:rsidRPr="00030150" w:rsidRDefault="00030150" w:rsidP="0003015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CPMK1101</w:t>
            </w:r>
          </w:p>
        </w:tc>
        <w:tc>
          <w:tcPr>
            <w:tcW w:w="11906" w:type="dxa"/>
            <w:gridSpan w:val="11"/>
          </w:tcPr>
          <w:p w14:paraId="1A735C16" w14:textId="5AAF7B66" w:rsidR="00030150" w:rsidRPr="00030150" w:rsidRDefault="00030150" w:rsidP="0003015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memperoleh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mengolah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menyampaikan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gagasan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tertulis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menampilkan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presentasi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efektif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teknologi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bertanggungjawab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Pendidikan Bahasa dan Sastra Indonesia</w:t>
            </w:r>
          </w:p>
        </w:tc>
      </w:tr>
      <w:tr w:rsidR="00030150" w14:paraId="1E5D85BC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7E83C79" w14:textId="77777777" w:rsidR="00030150" w:rsidRDefault="00030150" w:rsidP="00030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64C3E7" w14:textId="254660DB" w:rsidR="00030150" w:rsidRPr="00030150" w:rsidRDefault="00030150" w:rsidP="0003015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CPMK1102</w:t>
            </w:r>
          </w:p>
        </w:tc>
        <w:tc>
          <w:tcPr>
            <w:tcW w:w="11906" w:type="dxa"/>
            <w:gridSpan w:val="11"/>
          </w:tcPr>
          <w:p w14:paraId="1BBC3582" w14:textId="17FE7F56" w:rsidR="00030150" w:rsidRPr="00030150" w:rsidRDefault="00030150" w:rsidP="0003015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Menguasai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tata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cara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penulisan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ilmiah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standar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American Psychological Association (APA) dan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mengikuti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prinsip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etika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profesi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kode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etik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penyusunan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Karya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Akhir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melalui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>Aplikasi</w:t>
            </w:r>
            <w:proofErr w:type="spellEnd"/>
            <w:r w:rsidRPr="00030150">
              <w:rPr>
                <w:rFonts w:asciiTheme="minorHAnsi" w:hAnsiTheme="minorHAnsi" w:cstheme="minorHAnsi"/>
                <w:sz w:val="22"/>
                <w:szCs w:val="22"/>
              </w:rPr>
              <w:t xml:space="preserve"> dan Manual</w:t>
            </w:r>
          </w:p>
        </w:tc>
      </w:tr>
      <w:tr w:rsidR="008041F3" w14:paraId="227AEF6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(Sub-CPMK)</w:t>
            </w:r>
          </w:p>
        </w:tc>
        <w:tc>
          <w:tcPr>
            <w:tcW w:w="7654" w:type="dxa"/>
            <w:gridSpan w:val="8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06" w:type="dxa"/>
            <w:gridSpan w:val="11"/>
          </w:tcPr>
          <w:p w14:paraId="780DA25E" w14:textId="4890FDD4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menjelaskan tuturan semantik sebagai kajian linguistik</w:t>
            </w:r>
          </w:p>
        </w:tc>
      </w:tr>
      <w:tr w:rsidR="008041F3" w14:paraId="00053236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6DCA3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06" w:type="dxa"/>
            <w:gridSpan w:val="11"/>
          </w:tcPr>
          <w:p w14:paraId="58F311F8" w14:textId="487292A4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menjelaskan makna sebagai objek kajian semantik</w:t>
            </w:r>
          </w:p>
        </w:tc>
      </w:tr>
      <w:tr w:rsidR="008041F3" w14:paraId="2B63802B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0673A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06" w:type="dxa"/>
            <w:gridSpan w:val="11"/>
          </w:tcPr>
          <w:p w14:paraId="25904994" w14:textId="12E153A4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menjabarkan proses penamaan, pengistilahan, dan pendefinisian</w:t>
            </w:r>
          </w:p>
        </w:tc>
      </w:tr>
      <w:tr w:rsidR="008041F3" w14:paraId="36C0CEF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C8B7B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06" w:type="dxa"/>
            <w:gridSpan w:val="11"/>
          </w:tcPr>
          <w:p w14:paraId="793D10F7" w14:textId="6A5EBEA2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mengklasifikasikan jenis-jenis makna dalam bahasa Indonesia</w:t>
            </w:r>
          </w:p>
        </w:tc>
      </w:tr>
      <w:tr w:rsidR="008041F3" w14:paraId="143B47AC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EF9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06" w:type="dxa"/>
            <w:gridSpan w:val="11"/>
          </w:tcPr>
          <w:p w14:paraId="041AD3C8" w14:textId="26D90EB1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menjelaskan majas dan peribahasa dalam bahasa Indonesia </w:t>
            </w:r>
          </w:p>
        </w:tc>
      </w:tr>
      <w:tr w:rsidR="008041F3" w14:paraId="32552400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11A34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06" w:type="dxa"/>
            <w:gridSpan w:val="11"/>
          </w:tcPr>
          <w:p w14:paraId="38B27C3E" w14:textId="0C3A81AD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menjelaskan relasi makna dalam bahasa Indonesia </w:t>
            </w:r>
          </w:p>
        </w:tc>
      </w:tr>
      <w:tr w:rsidR="008041F3" w14:paraId="2ACB65B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CEE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06" w:type="dxa"/>
            <w:gridSpan w:val="11"/>
          </w:tcPr>
          <w:p w14:paraId="781723F5" w14:textId="4FF9D25B" w:rsidR="008041F3" w:rsidRPr="006E5AF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 w:rsidR="00CC1C8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5AF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menjelaskan medan makna dan komponen makna dalam bahasa Indonesia</w:t>
            </w:r>
          </w:p>
        </w:tc>
      </w:tr>
      <w:tr w:rsidR="008041F3" w14:paraId="5C7A2AA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80AE7B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67379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06" w:type="dxa"/>
            <w:gridSpan w:val="11"/>
          </w:tcPr>
          <w:p w14:paraId="53CC3781" w14:textId="7D15718B" w:rsidR="008041F3" w:rsidRPr="008F627D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F627D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menjabarkan proses perubahan makna dalam bahasa Indonesia</w:t>
            </w:r>
          </w:p>
        </w:tc>
      </w:tr>
      <w:tr w:rsidR="00C453E2" w14:paraId="156EFDF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C1C29D5" w14:textId="77777777" w:rsidR="00C453E2" w:rsidRDefault="00C45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7DB9E1" w14:textId="2EB8677E" w:rsidR="00C453E2" w:rsidRPr="00C453E2" w:rsidRDefault="00C453E2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Sub-CPMK9</w:t>
            </w:r>
          </w:p>
        </w:tc>
        <w:tc>
          <w:tcPr>
            <w:tcW w:w="11906" w:type="dxa"/>
            <w:gridSpan w:val="11"/>
          </w:tcPr>
          <w:p w14:paraId="5550BCFC" w14:textId="25D307C7" w:rsidR="00C453E2" w:rsidRPr="00C453E2" w:rsidRDefault="00C453E2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 mengkaji objek kajian semantik dan menyajikannya dalam bentuk artikel ilmiah</w:t>
            </w:r>
          </w:p>
        </w:tc>
      </w:tr>
      <w:tr w:rsidR="008041F3" w14:paraId="5748305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CPL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Sub-CPMK</w:t>
            </w:r>
          </w:p>
        </w:tc>
        <w:tc>
          <w:tcPr>
            <w:tcW w:w="7654" w:type="dxa"/>
            <w:gridSpan w:val="8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2414EE">
        <w:tc>
          <w:tcPr>
            <w:tcW w:w="2268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tbl>
            <w:tblPr>
              <w:tblStyle w:val="a0"/>
              <w:tblW w:w="11397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030150" w14:paraId="3945B4BC" w14:textId="2AF5D923" w:rsidTr="00030150">
              <w:tc>
                <w:tcPr>
                  <w:tcW w:w="1191" w:type="dxa"/>
                </w:tcPr>
                <w:p w14:paraId="2F3AD7CA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5F93066A" w14:textId="35B20ED9" w:rsidR="00030150" w:rsidRP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9</w:t>
                  </w:r>
                </w:p>
              </w:tc>
            </w:tr>
            <w:tr w:rsidR="00030150" w14:paraId="07ABC4A7" w14:textId="4208A333" w:rsidTr="00030150">
              <w:tc>
                <w:tcPr>
                  <w:tcW w:w="1191" w:type="dxa"/>
                </w:tcPr>
                <w:p w14:paraId="42336A36" w14:textId="20CBBF4D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97E7242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A38D405" w14:textId="2DBAE600" w:rsidR="00030150" w:rsidRDefault="00030150" w:rsidP="00030150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26BE29A5" w14:textId="52B8C4CF" w:rsidTr="00030150">
              <w:tc>
                <w:tcPr>
                  <w:tcW w:w="1191" w:type="dxa"/>
                </w:tcPr>
                <w:p w14:paraId="63A3F52F" w14:textId="1FD53031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40206F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95C99CF" w14:textId="761668CF" w:rsidR="00030150" w:rsidRDefault="00030150" w:rsidP="00030150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2914FC67" w14:textId="18A6ECB9" w:rsidTr="00030150">
              <w:tc>
                <w:tcPr>
                  <w:tcW w:w="1191" w:type="dxa"/>
                </w:tcPr>
                <w:p w14:paraId="6850727C" w14:textId="049C0FE1" w:rsid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3</w:t>
                  </w:r>
                </w:p>
              </w:tc>
              <w:tc>
                <w:tcPr>
                  <w:tcW w:w="1134" w:type="dxa"/>
                </w:tcPr>
                <w:p w14:paraId="7144ED30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AE9BEF6" w14:textId="54BFD318" w:rsidR="00030150" w:rsidRDefault="00030150" w:rsidP="00030150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084A1381" w14:textId="28AFFF21" w:rsidTr="00030150">
              <w:tc>
                <w:tcPr>
                  <w:tcW w:w="1191" w:type="dxa"/>
                </w:tcPr>
                <w:p w14:paraId="2523B1BE" w14:textId="674060B3" w:rsidR="00030150" w:rsidRPr="008F627D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4</w:t>
                  </w:r>
                </w:p>
              </w:tc>
              <w:tc>
                <w:tcPr>
                  <w:tcW w:w="1134" w:type="dxa"/>
                </w:tcPr>
                <w:p w14:paraId="656693F2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DEFFBE7" w14:textId="5E123056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41F3DB78" w14:textId="357A00BC" w:rsidTr="00030150">
              <w:tc>
                <w:tcPr>
                  <w:tcW w:w="1191" w:type="dxa"/>
                </w:tcPr>
                <w:p w14:paraId="1CDADE2F" w14:textId="17E94B86" w:rsidR="00030150" w:rsidRPr="008F627D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6</w:t>
                  </w:r>
                </w:p>
              </w:tc>
              <w:tc>
                <w:tcPr>
                  <w:tcW w:w="1134" w:type="dxa"/>
                </w:tcPr>
                <w:p w14:paraId="138A6BE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EA41A69" w14:textId="7AD52D4D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4BA1BE22" w14:textId="1C938D51" w:rsidTr="00030150">
              <w:tc>
                <w:tcPr>
                  <w:tcW w:w="1191" w:type="dxa"/>
                </w:tcPr>
                <w:p w14:paraId="43376E2C" w14:textId="6C032460" w:rsidR="00030150" w:rsidRPr="008F627D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7</w:t>
                  </w:r>
                </w:p>
              </w:tc>
              <w:tc>
                <w:tcPr>
                  <w:tcW w:w="1134" w:type="dxa"/>
                </w:tcPr>
                <w:p w14:paraId="408A772F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F414C7" w14:textId="5F37EFE9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0470503E" w14:textId="3883B935" w:rsidTr="00030150">
              <w:tc>
                <w:tcPr>
                  <w:tcW w:w="1191" w:type="dxa"/>
                </w:tcPr>
                <w:p w14:paraId="1707F6C5" w14:textId="16A8F25B" w:rsidR="00030150" w:rsidRP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8</w:t>
                  </w:r>
                </w:p>
              </w:tc>
              <w:tc>
                <w:tcPr>
                  <w:tcW w:w="1134" w:type="dxa"/>
                </w:tcPr>
                <w:p w14:paraId="2792A3EE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A6736E" w14:textId="7FFBB11B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703543BF" w14:textId="2B884400" w:rsidTr="00030150">
              <w:tc>
                <w:tcPr>
                  <w:tcW w:w="1191" w:type="dxa"/>
                </w:tcPr>
                <w:p w14:paraId="63C31138" w14:textId="6F0EA1B7" w:rsidR="00030150" w:rsidRPr="008F627D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10</w:t>
                  </w:r>
                </w:p>
              </w:tc>
              <w:tc>
                <w:tcPr>
                  <w:tcW w:w="1134" w:type="dxa"/>
                </w:tcPr>
                <w:p w14:paraId="4D78821C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C728EE8" w14:textId="75C6557C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030150" w14:paraId="63380938" w14:textId="77777777" w:rsidTr="00030150">
              <w:tc>
                <w:tcPr>
                  <w:tcW w:w="1191" w:type="dxa"/>
                </w:tcPr>
                <w:p w14:paraId="04E7F7A6" w14:textId="7BB19092" w:rsidR="00030150" w:rsidRPr="00030150" w:rsidRDefault="00030150" w:rsidP="00030150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CPL 11</w:t>
                  </w:r>
                </w:p>
              </w:tc>
              <w:tc>
                <w:tcPr>
                  <w:tcW w:w="1134" w:type="dxa"/>
                </w:tcPr>
                <w:p w14:paraId="521441BE" w14:textId="5710A754" w:rsidR="00030150" w:rsidRDefault="00030150" w:rsidP="00030150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2AF6D4" w14:textId="34F014C3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14C16EF" w14:textId="79594F1C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F18824C" w14:textId="723CCFF1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A4B95A5" w14:textId="22024A9C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B8BFCB" w14:textId="4CF51877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AA2BB51" w14:textId="71B8663E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F8F3D5" w14:textId="4A3750A2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AF114F" w14:textId="471D3749" w:rsidR="00030150" w:rsidRDefault="00030150" w:rsidP="00030150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466" w:type="dxa"/>
            <w:gridSpan w:val="12"/>
          </w:tcPr>
          <w:p w14:paraId="22FD4BC5" w14:textId="00810F7C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Mata kuliah</w:t>
            </w:r>
            <w:r w:rsidR="00350FC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Semantik</w:t>
            </w: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Pembelajaran Bahasa Indonesia </w:t>
            </w:r>
            <w:r w:rsidR="001C3D06" w:rsidRPr="001C3D06">
              <w:rPr>
                <w:rFonts w:asciiTheme="minorHAnsi" w:hAnsiTheme="minorHAnsi" w:cstheme="minorHAnsi"/>
                <w:sz w:val="22"/>
                <w:szCs w:val="20"/>
                <w:lang w:val="id-ID"/>
              </w:rPr>
              <w:t xml:space="preserve">adalah MK Wajib dengan bobot 2 sks. Pada MK ini dipelajari tentang </w:t>
            </w:r>
            <w:r w:rsidR="001C3D06" w:rsidRPr="001C3D06">
              <w:rPr>
                <w:rFonts w:asciiTheme="minorHAnsi" w:hAnsiTheme="minorHAnsi" w:cstheme="minorHAnsi"/>
                <w:sz w:val="22"/>
                <w:szCs w:val="20"/>
                <w:lang w:val="sv-SE"/>
              </w:rPr>
              <w:t>konsep-konsep dasar yang berkaitan</w:t>
            </w:r>
            <w:r w:rsidR="001C3D06" w:rsidRPr="001C3D06">
              <w:rPr>
                <w:rFonts w:asciiTheme="minorHAnsi" w:hAnsiTheme="minorHAnsi" w:cstheme="minorHAnsi"/>
                <w:sz w:val="22"/>
                <w:szCs w:val="20"/>
                <w:lang w:val="id-ID"/>
              </w:rPr>
              <w:t xml:space="preserve"> hakikat makna, jenis makna, relasi makna, medan dan komponen makna, serta perubahan makna dalam bahasa Indonesia dan menulis artikel ilmiah tentang makna kata dalam bahasa Indonesia atau bahasa daerah</w:t>
            </w:r>
            <w:r w:rsidR="001C3D06" w:rsidRPr="001C3D06">
              <w:rPr>
                <w:rFonts w:asciiTheme="minorHAnsi" w:hAnsiTheme="minorHAnsi" w:cstheme="minorHAnsi"/>
                <w:sz w:val="22"/>
                <w:szCs w:val="20"/>
                <w:lang w:val="sv-SE"/>
              </w:rPr>
              <w:t>.</w:t>
            </w:r>
          </w:p>
        </w:tc>
      </w:tr>
      <w:tr w:rsidR="00843782" w14:paraId="0FF6FF60" w14:textId="770F40C6" w:rsidTr="00843782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843782" w:rsidRDefault="008437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Bahan Kajian: 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6675" w:type="dxa"/>
            <w:gridSpan w:val="5"/>
            <w:tcBorders>
              <w:right w:val="single" w:sz="4" w:space="0" w:color="auto"/>
            </w:tcBorders>
          </w:tcPr>
          <w:p w14:paraId="38D5315E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Semantik sebagai Kajian Linguistik</w:t>
            </w:r>
          </w:p>
          <w:p w14:paraId="0F60E8E5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Makna sebagai Objek Kajian Semantik</w:t>
            </w:r>
          </w:p>
          <w:p w14:paraId="589DB930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Proses Penamaan, Pengistilahan, dan Pendefinisian Kata</w:t>
            </w:r>
          </w:p>
          <w:p w14:paraId="1411A632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Jenis-Jenis Makna</w:t>
            </w:r>
          </w:p>
          <w:p w14:paraId="7FE504D3" w14:textId="20E9EB57" w:rsidR="00843782" w:rsidRPr="00350FCF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Majas dan Peribahasa</w:t>
            </w:r>
          </w:p>
        </w:tc>
        <w:tc>
          <w:tcPr>
            <w:tcW w:w="6791" w:type="dxa"/>
            <w:gridSpan w:val="7"/>
            <w:tcBorders>
              <w:left w:val="single" w:sz="4" w:space="0" w:color="auto"/>
            </w:tcBorders>
          </w:tcPr>
          <w:p w14:paraId="664A9514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Relasi Makna</w:t>
            </w:r>
          </w:p>
          <w:p w14:paraId="3C16ABEF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Medan Makna dan Komponen Makna</w:t>
            </w:r>
          </w:p>
          <w:p w14:paraId="675428A5" w14:textId="77777777" w:rsidR="00843782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Perubahan Makna </w:t>
            </w:r>
          </w:p>
          <w:p w14:paraId="1F34E398" w14:textId="386A36B5" w:rsidR="00843782" w:rsidRPr="00350FCF" w:rsidRDefault="00843782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Karya Ilmiah Semantik</w:t>
            </w:r>
          </w:p>
        </w:tc>
      </w:tr>
      <w:tr w:rsidR="001C3D06" w14:paraId="2A7264C2" w14:textId="76B2289A" w:rsidTr="009972CB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1C3D06" w:rsidRDefault="001C3D0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1091" w:type="dxa"/>
            <w:gridSpan w:val="10"/>
            <w:tcBorders>
              <w:bottom w:val="single" w:sz="4" w:space="0" w:color="000000"/>
            </w:tcBorders>
          </w:tcPr>
          <w:p w14:paraId="2BCC9CE6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27AF6E85" w14:textId="2786D824" w:rsidR="008041F3" w:rsidRPr="0078235F" w:rsidRDefault="00843782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Chaer, Abdul. 2009. </w:t>
            </w:r>
            <w:r w:rsidR="00EF1E3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 xml:space="preserve">Pengantar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>Semantik</w:t>
            </w:r>
            <w:r w:rsidR="00EF1E3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 xml:space="preserve"> Bahasa Indonesia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. Jakarta: Rineka Cipta</w:t>
            </w:r>
          </w:p>
        </w:tc>
      </w:tr>
      <w:tr w:rsidR="008041F3" w14:paraId="4C5549D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1091" w:type="dxa"/>
            <w:gridSpan w:val="10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2414EE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382CF81B" w14:textId="2C3BCBD7" w:rsidR="00350FCF" w:rsidRPr="006555DB" w:rsidRDefault="00EF1E35" w:rsidP="00350F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Pateda, Mansoer. 2010.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id-ID"/>
              </w:rPr>
              <w:t>Semantik Leksikal</w:t>
            </w: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 Jakarta: Rineka Cipta</w:t>
            </w:r>
          </w:p>
          <w:p w14:paraId="0BEFBECE" w14:textId="48A82767" w:rsidR="006555DB" w:rsidRPr="006555DB" w:rsidRDefault="00EF1E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Ernawati, Yeni. 2021. Perubahan Makna </w:t>
            </w:r>
            <w:r w:rsidR="001C3D06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Kata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Bahasa Indonesia</w:t>
            </w:r>
            <w:r w:rsidR="001C3D06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 di Media Sosial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. </w:t>
            </w:r>
            <w:r w:rsidRPr="00EF1E3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>Stilistik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, 1 (1): 29—39  </w:t>
            </w:r>
          </w:p>
        </w:tc>
      </w:tr>
      <w:tr w:rsidR="008041F3" w14:paraId="4E08C637" w14:textId="77777777" w:rsidTr="002414EE">
        <w:tc>
          <w:tcPr>
            <w:tcW w:w="2268" w:type="dxa"/>
            <w:gridSpan w:val="2"/>
            <w:shd w:val="clear" w:color="auto" w:fill="auto"/>
          </w:tcPr>
          <w:p w14:paraId="13EF91A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466" w:type="dxa"/>
            <w:gridSpan w:val="12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41F3" w14:paraId="5208413C" w14:textId="77777777" w:rsidTr="002414EE">
        <w:tc>
          <w:tcPr>
            <w:tcW w:w="2268" w:type="dxa"/>
            <w:gridSpan w:val="2"/>
            <w:shd w:val="clear" w:color="auto" w:fill="auto"/>
          </w:tcPr>
          <w:p w14:paraId="41A8F92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3466" w:type="dxa"/>
            <w:gridSpan w:val="12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6E5AF7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091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256653B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252" w:type="dxa"/>
            <w:gridSpan w:val="3"/>
            <w:shd w:val="clear" w:color="auto" w:fill="E7E6E6"/>
            <w:vAlign w:val="center"/>
          </w:tcPr>
          <w:p w14:paraId="07765F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shd w:val="clear" w:color="auto" w:fill="E7E6E6"/>
          </w:tcPr>
          <w:p w14:paraId="63404DA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34EEE9AA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</w:p>
          <w:p w14:paraId="4C86DFDF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6D4741E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</w:t>
            </w:r>
            <w:proofErr w:type="spell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18C33BC1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Pustaka ]</w:t>
            </w:r>
            <w:proofErr w:type="gramEnd"/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(%)</w:t>
            </w:r>
          </w:p>
        </w:tc>
      </w:tr>
      <w:tr w:rsidR="008041F3" w14:paraId="05CABB30" w14:textId="77777777" w:rsidTr="00E2130D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E7E6E6"/>
          </w:tcPr>
          <w:p w14:paraId="45853E4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842" w:type="dxa"/>
            <w:shd w:val="clear" w:color="auto" w:fill="E7E6E6"/>
          </w:tcPr>
          <w:p w14:paraId="23B2BA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Teknik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AAF6D7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57081F9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E2130D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091" w:type="dxa"/>
            <w:gridSpan w:val="2"/>
            <w:shd w:val="clear" w:color="auto" w:fill="E7E6E6"/>
          </w:tcPr>
          <w:p w14:paraId="2160F67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FDCBE6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842" w:type="dxa"/>
            <w:shd w:val="clear" w:color="auto" w:fill="E7E6E6"/>
          </w:tcPr>
          <w:p w14:paraId="72822B18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6BC2D36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C1F1CE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B62E46" w14:paraId="056FC3BA" w14:textId="77777777" w:rsidTr="00E2130D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B62E46" w:rsidRPr="003345BF" w:rsidRDefault="00B62E4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5437D5F9" w14:textId="77777777" w:rsidR="009D5BF7" w:rsidRPr="00CF0E72" w:rsidRDefault="009D5BF7" w:rsidP="009D5BF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fi-FI" w:eastAsia="en-US"/>
              </w:rPr>
            </w:pPr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fi-FI"/>
              </w:rPr>
              <w:t>Memahami tujuan pembelajaran MK Semantik sebagai bagian dari Pendidikan Bahasa Indonesia</w:t>
            </w:r>
          </w:p>
          <w:p w14:paraId="2541889D" w14:textId="7D188C44" w:rsidR="00B62E46" w:rsidRPr="00CF0E72" w:rsidRDefault="009D5BF7" w:rsidP="009D5BF7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Memahami dan mengikuti proses pembelajaran MK Semantik sesuai dengan SK yang telah ditentukan dan disepakati bersama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B3B4F3E" w14:textId="77777777" w:rsidR="00C10F48" w:rsidRPr="00CF0E72" w:rsidRDefault="00C10F48" w:rsidP="00C10F48">
            <w:pPr>
              <w:pStyle w:val="Default"/>
              <w:numPr>
                <w:ilvl w:val="1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tujuan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pembelajaran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MK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Semantik</w:t>
            </w:r>
            <w:proofErr w:type="spellEnd"/>
          </w:p>
          <w:p w14:paraId="6D5BC527" w14:textId="77777777" w:rsidR="00C10F48" w:rsidRPr="00CF0E72" w:rsidRDefault="00C10F48" w:rsidP="00C10F48">
            <w:pPr>
              <w:pStyle w:val="Default"/>
              <w:numPr>
                <w:ilvl w:val="1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Menjalankan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mematuhi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SK MK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Semantik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sesuai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dengan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kesepakatan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telah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dibuat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bersama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.</w:t>
            </w:r>
          </w:p>
          <w:p w14:paraId="5E22AE7F" w14:textId="74A75BE1" w:rsidR="00087A7C" w:rsidRPr="00CF0E72" w:rsidRDefault="00C10F48" w:rsidP="00C10F48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Mengerjakan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Tugas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diberikan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738D3891" w14:textId="0D901EAE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proofErr w:type="spellEnd"/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79743FCC" w:rsidR="00B62E46" w:rsidRPr="00087A7C" w:rsidRDefault="00C10F48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-</w:t>
            </w:r>
          </w:p>
          <w:p w14:paraId="68672B8E" w14:textId="123DE618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1458DCBA" w:rsidR="00B62E46" w:rsidRPr="00087A7C" w:rsidRDefault="00C10F48" w:rsidP="00C10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left="168"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B62E46" w:rsidRPr="003345BF" w:rsidRDefault="00B62E46" w:rsidP="00B62E4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38DAC39E" w14:textId="45A5A48D" w:rsidR="00087A7C" w:rsidRPr="00087A7C" w:rsidRDefault="00E2130D" w:rsidP="006531C1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Mengetahui dan memahami persyaratan dan tugas di MK Semantik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B62E46" w:rsidRPr="003345BF" w:rsidRDefault="00B62E4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B62E46" w14:paraId="012916BA" w14:textId="77777777" w:rsidTr="00E2130D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B1907F8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A53936D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34BB0BD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B62E46" w:rsidRPr="003345BF" w:rsidRDefault="00B62E46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B62E46" w:rsidRPr="003345BF" w:rsidRDefault="00B62E46" w:rsidP="00B62E46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1CB8B1EB" w14:textId="77777777" w:rsidTr="00E2130D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05313B9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E28958C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FDE0B8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B62E46" w:rsidRPr="003345BF" w:rsidRDefault="00B62E46" w:rsidP="003345B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316DFC01" w14:textId="77777777" w:rsidTr="00E2130D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6DFCEBDB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AF12E4A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899EEE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B62E46" w:rsidRPr="003345BF" w:rsidRDefault="00B62E46" w:rsidP="003345B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 xml:space="preserve">Discovery </w:t>
            </w:r>
            <w:proofErr w:type="spellStart"/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Learnin</w:t>
            </w:r>
            <w:proofErr w:type="spellEnd"/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45BF" w14:paraId="24227BDD" w14:textId="77777777" w:rsidTr="00E2130D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3345BF" w:rsidRDefault="003345BF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7ECA905" w14:textId="77777777" w:rsidR="003345BF" w:rsidRDefault="003345BF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D1D0912" w14:textId="77777777" w:rsidR="003345BF" w:rsidRPr="00B62E46" w:rsidRDefault="003345BF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F1D2BA" w14:textId="77777777" w:rsidR="003345BF" w:rsidRPr="00B62E46" w:rsidRDefault="003345BF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3345BF" w:rsidRPr="003345BF" w:rsidRDefault="003345BF" w:rsidP="003345BF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 xml:space="preserve">2 x 45 </w:t>
            </w:r>
            <w:proofErr w:type="spellStart"/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3345BF" w:rsidRDefault="003345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3345BF" w:rsidRDefault="003345B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27B9" w14:paraId="7B3C4F3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5752579A" w14:textId="6204E854" w:rsidR="00A927B9" w:rsidRPr="00CF0E72" w:rsidRDefault="00C10F48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Menjelaksan tataran semantik sebagai kajian linguistik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9888488" w14:textId="77777777" w:rsidR="001F22EA" w:rsidRPr="00CF0E72" w:rsidRDefault="001F22EA" w:rsidP="001F22EA">
            <w:pPr>
              <w:pStyle w:val="Default"/>
              <w:numPr>
                <w:ilvl w:val="1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Mendefinisikan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semantik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menggunakan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sendiri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secara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sederhana</w:t>
            </w:r>
            <w:proofErr w:type="spellEnd"/>
          </w:p>
          <w:p w14:paraId="0CF79FCA" w14:textId="75512AD2" w:rsidR="00A927B9" w:rsidRPr="00CF0E72" w:rsidRDefault="001F22EA" w:rsidP="001F22EA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lastRenderedPageBreak/>
              <w:t>Menyebutkan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tujuan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manfaat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semantik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bagi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pendidik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Bahasa Indonesia,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Penyusun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Kamus Bahasa,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Wartawan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C602CD" w14:textId="77777777" w:rsidR="00A927B9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5E6626FF" w:rsidR="00A927B9" w:rsidRPr="008B4DA7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7F25CD5" w14:textId="285A972B" w:rsidR="001368E5" w:rsidRPr="001368E5" w:rsidRDefault="001368E5" w:rsidP="001368E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Mend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>efinisi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kan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 xml:space="preserve"> Semantik</w:t>
            </w:r>
          </w:p>
          <w:p w14:paraId="37E020F6" w14:textId="32C2DD55" w:rsidR="001368E5" w:rsidRPr="001368E5" w:rsidRDefault="001368E5" w:rsidP="001368E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Menyebutkan 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Tujuan </w:t>
            </w:r>
            <w:proofErr w:type="spellStart"/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Semantik</w:t>
            </w:r>
            <w:proofErr w:type="spellEnd"/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</w:p>
          <w:p w14:paraId="180F1DC7" w14:textId="5B07C4C0" w:rsidR="00A927B9" w:rsidRPr="001368E5" w:rsidRDefault="001368E5" w:rsidP="001368E5">
            <w:pPr>
              <w:pStyle w:val="ListParagraph"/>
              <w:numPr>
                <w:ilvl w:val="4"/>
                <w:numId w:val="5"/>
              </w:numPr>
              <w:ind w:left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lastRenderedPageBreak/>
              <w:t xml:space="preserve">Menyebutkan 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Manfaat </w:t>
            </w:r>
            <w:proofErr w:type="spellStart"/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Semantik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1300826C" w14:textId="77777777" w:rsid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  <w:p w14:paraId="16F62028" w14:textId="182D0AB5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927B9" w14:paraId="5F0F4ADD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1785E191" w14:textId="51ECC57A" w:rsidR="00A927B9" w:rsidRPr="00CF0E72" w:rsidRDefault="001F22EA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Menjelaskan makna sebagai objek kajian semantik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2668EF8" w14:textId="77777777" w:rsidR="001F22EA" w:rsidRPr="00CF0E72" w:rsidRDefault="001F22EA" w:rsidP="001F22EA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Mendefinisikan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menggunakan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sendiri</w:t>
            </w:r>
            <w:proofErr w:type="spellEnd"/>
          </w:p>
          <w:p w14:paraId="238794FD" w14:textId="77777777" w:rsidR="001F22EA" w:rsidRPr="00CF0E72" w:rsidRDefault="001F22EA" w:rsidP="001F22EA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Membedakan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dengan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informasi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maksud</w:t>
            </w:r>
            <w:proofErr w:type="spellEnd"/>
          </w:p>
          <w:p w14:paraId="062B3C94" w14:textId="236B8009" w:rsidR="00A927B9" w:rsidRPr="00CF0E72" w:rsidRDefault="001F22EA" w:rsidP="001F22EA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Membedakan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tanda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lambang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definisi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7A9D667" w14:textId="77777777" w:rsidR="00A927B9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3992F367" w:rsidR="00A927B9" w:rsidRPr="008B4DA7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2BC64F7" w14:textId="269CAF43" w:rsidR="001368E5" w:rsidRPr="001368E5" w:rsidRDefault="001368E5" w:rsidP="001368E5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Mend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>efinisi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kan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 xml:space="preserve"> makna </w:t>
            </w:r>
          </w:p>
          <w:p w14:paraId="311D5849" w14:textId="531D34A5" w:rsidR="001368E5" w:rsidRPr="001368E5" w:rsidRDefault="001368E5" w:rsidP="001368E5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Membedakan 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>Makna/ Informasi/ Maksud</w:t>
            </w:r>
          </w:p>
          <w:p w14:paraId="2D6163E5" w14:textId="58F15388" w:rsidR="00A927B9" w:rsidRPr="001368E5" w:rsidRDefault="001368E5" w:rsidP="001368E5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Membedakan </w:t>
            </w:r>
            <w:r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>Tanda, Lambang, Konsep, dan Definisi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61ECFA12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705F89AE" w14:textId="7D98D8C1" w:rsidR="00A927B9" w:rsidRPr="00CF0E72" w:rsidRDefault="001F22EA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Menjabarkan proses penamaan, pengistilahan, dan pendefinisian.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90322FE" w14:textId="77777777" w:rsidR="001F22EA" w:rsidRPr="00CF0E72" w:rsidRDefault="001F22EA" w:rsidP="001F22EA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Menyebutkan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proses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jenis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penamaan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Indonesia </w:t>
            </w:r>
          </w:p>
          <w:p w14:paraId="18623461" w14:textId="77777777" w:rsidR="001F22EA" w:rsidRPr="00CF0E72" w:rsidRDefault="001F22EA" w:rsidP="001F22EA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proses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pengistilahan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digunakan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Indonesia</w:t>
            </w:r>
          </w:p>
          <w:p w14:paraId="1C31D066" w14:textId="0A80395E" w:rsidR="00A927B9" w:rsidRPr="00CF0E72" w:rsidRDefault="001F22EA" w:rsidP="001F22EA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Membedakan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pengistilahan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dengan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pendefinisian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2609D8CC" w14:textId="77777777" w:rsidR="00A927B9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62CEE30C" w:rsidR="00A927B9" w:rsidRPr="008B4DA7" w:rsidRDefault="00A927B9" w:rsidP="001C3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D1D15A0" w14:textId="3327F49B" w:rsidR="001368E5" w:rsidRDefault="001368E5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 w:eastAsia="en-US"/>
              </w:rPr>
              <w:t xml:space="preserve">Menjelaskan dan menyebutkan contoh: </w:t>
            </w:r>
          </w:p>
          <w:p w14:paraId="18B72D46" w14:textId="56120A2C" w:rsidR="006531C1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Penamaan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Bahasa Indonesia</w:t>
            </w:r>
          </w:p>
          <w:p w14:paraId="5D3D3C00" w14:textId="77777777" w:rsidR="00CF0E72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Pengistilahan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Indonesia</w:t>
            </w:r>
          </w:p>
          <w:p w14:paraId="201E9EC2" w14:textId="18D5CD9A" w:rsidR="00A927B9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Pendefinisian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1F22EA" w14:paraId="1794CB2F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797E58EE" w14:textId="2D07B72B" w:rsidR="001F22EA" w:rsidRPr="008B4DA7" w:rsidRDefault="001F22EA" w:rsidP="001F22E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7F269ED7" w14:textId="630910CC" w:rsidR="001F22EA" w:rsidRPr="00CF0E72" w:rsidRDefault="001F22EA" w:rsidP="001F22EA">
            <w:pPr>
              <w:ind w:left="142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Mengkategorikan jenis-jenis makna dalam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7A88C07" w14:textId="75102C41" w:rsidR="001F22EA" w:rsidRPr="00CF0E72" w:rsidRDefault="001F22EA" w:rsidP="001F22EA">
            <w:pPr>
              <w:pStyle w:val="Default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memberikan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contoh-contoh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dari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jenis-jenis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auto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0CACDA7F" w14:textId="77777777" w:rsidR="001F22EA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810AE00" w14:textId="5E46F75A" w:rsidR="001F22EA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8C20E5" w14:textId="77777777" w:rsidR="001F22EA" w:rsidRPr="008B4DA7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11D6CBEF" w14:textId="77777777" w:rsidR="001F22EA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2F01E73" w14:textId="785A4206" w:rsidR="001F22EA" w:rsidRPr="00A927B9" w:rsidRDefault="001F22EA" w:rsidP="001F22EA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D038F" w14:textId="77777777" w:rsidR="001F22EA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7E63299" w14:textId="452FCE81" w:rsidR="001368E5" w:rsidRPr="001368E5" w:rsidRDefault="001368E5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Menyebutkan :</w:t>
            </w:r>
          </w:p>
          <w:p w14:paraId="7E9BC9BA" w14:textId="4CA66E67" w:rsidR="006531C1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Leksikal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Gramatikal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,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Kontekstual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96D6D6" w14:textId="77777777" w:rsidR="006531C1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Referensial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Nonreferensial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BCA9BB" w14:textId="77777777" w:rsidR="006531C1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denotatif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konotatif</w:t>
            </w:r>
            <w:proofErr w:type="spellEnd"/>
          </w:p>
          <w:p w14:paraId="62C84A8A" w14:textId="77777777" w:rsidR="006531C1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konseptual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asosiatif</w:t>
            </w:r>
            <w:proofErr w:type="spellEnd"/>
          </w:p>
          <w:p w14:paraId="505A1D88" w14:textId="77777777" w:rsidR="00CF0E72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Kata dan Istilah</w:t>
            </w:r>
          </w:p>
          <w:p w14:paraId="440E605D" w14:textId="0C5FC01F" w:rsidR="001F22EA" w:rsidRPr="00CF0E72" w:rsidRDefault="006531C1" w:rsidP="00CF0E72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Idiom</w:t>
            </w:r>
          </w:p>
        </w:tc>
        <w:tc>
          <w:tcPr>
            <w:tcW w:w="1411" w:type="dxa"/>
            <w:shd w:val="clear" w:color="auto" w:fill="auto"/>
          </w:tcPr>
          <w:p w14:paraId="76939A56" w14:textId="39A3D4D8" w:rsidR="001F22EA" w:rsidRDefault="001F22EA" w:rsidP="001F22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1F22EA" w14:paraId="4DCA4872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6321DD69" w:rsidR="001F22EA" w:rsidRPr="008B4DA7" w:rsidRDefault="001F22EA" w:rsidP="001F22E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73CD73E5" w14:textId="3734E36F" w:rsidR="001F22EA" w:rsidRPr="008B4DA7" w:rsidRDefault="001F22EA" w:rsidP="001F22EA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BE41DF1" w14:textId="77777777" w:rsidR="001F22EA" w:rsidRPr="008B4DA7" w:rsidRDefault="001F22EA" w:rsidP="001F22EA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0D09CEE0" w14:textId="0F11F475" w:rsidR="001F22EA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024F8A4E" w:rsidR="001F22EA" w:rsidRPr="008B4DA7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1F22EA" w:rsidRPr="008B4DA7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28C61B09" w:rsidR="001F22EA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3EA6C0F4" w14:textId="76FA94EB" w:rsidR="001F22EA" w:rsidRPr="008B4DA7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1F22EA" w:rsidRPr="008B4DA7" w:rsidRDefault="001F22EA" w:rsidP="001F22EA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104B4E98" w14:textId="3425365F" w:rsidR="00E2130D" w:rsidRDefault="00E2130D" w:rsidP="001F22EA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Kajian semantik</w:t>
            </w:r>
          </w:p>
          <w:p w14:paraId="431EB232" w14:textId="77777777" w:rsidR="00E2130D" w:rsidRDefault="00E2130D" w:rsidP="001F22EA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Penamaan dan Pengistilahan</w:t>
            </w:r>
          </w:p>
          <w:p w14:paraId="60476DA9" w14:textId="7691148A" w:rsidR="001F22EA" w:rsidRPr="008B4DA7" w:rsidRDefault="00E2130D" w:rsidP="001F22EA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Jenis Makna</w:t>
            </w:r>
            <w:r w:rsidR="001F22EA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1F22EA" w:rsidRPr="008B4DA7" w:rsidRDefault="001F22EA" w:rsidP="001F22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15%</w:t>
            </w:r>
          </w:p>
        </w:tc>
      </w:tr>
      <w:tr w:rsidR="001F22EA" w14:paraId="355231E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7F641B5E" w:rsidR="001F22EA" w:rsidRPr="008B4DA7" w:rsidRDefault="00950EDC" w:rsidP="001F22E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35403407" w14:textId="0D4B0D21" w:rsidR="001F22EA" w:rsidRPr="00CF0E72" w:rsidRDefault="00950EDC" w:rsidP="001F22EA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Menjelaskan majas dalam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E5040E9" w14:textId="77777777" w:rsidR="00950EDC" w:rsidRPr="00CF0E72" w:rsidRDefault="00950EDC" w:rsidP="00950EDC">
            <w:pPr>
              <w:pStyle w:val="ListParagraph"/>
              <w:numPr>
                <w:ilvl w:val="1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Membedakan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idiom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majas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.</w:t>
            </w:r>
          </w:p>
          <w:p w14:paraId="7B18AECE" w14:textId="1C62E6B0" w:rsidR="001F22EA" w:rsidRPr="00CF0E72" w:rsidRDefault="00950EDC" w:rsidP="00950EDC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memberikan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cont</w:t>
            </w:r>
            <w:proofErr w:type="spellEnd"/>
            <w:r w:rsidR="001368E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o</w:t>
            </w:r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h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majas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072A3676" w14:textId="77777777" w:rsidR="001F22EA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7977F507" w:rsidR="001F22EA" w:rsidRPr="008B4DA7" w:rsidRDefault="001F22EA" w:rsidP="001F22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1F22EA" w:rsidRPr="008B4DA7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1F22EA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1F22EA" w:rsidRPr="008B4DA7" w:rsidRDefault="001F22EA" w:rsidP="001F22E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1F22EA" w:rsidRPr="008B4DA7" w:rsidRDefault="001F22EA" w:rsidP="001F22EA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11CC318" w14:textId="102B0D7F" w:rsidR="006531C1" w:rsidRPr="00CF0E72" w:rsidRDefault="001368E5" w:rsidP="00CF0E72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Mend</w:t>
            </w:r>
            <w:proofErr w:type="spellStart"/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efinisi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kan</w:t>
            </w:r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Majas</w:t>
            </w:r>
          </w:p>
          <w:p w14:paraId="383FFBEA" w14:textId="57DECDBE" w:rsidR="00CF0E72" w:rsidRDefault="001368E5" w:rsidP="00CF0E72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Menyebutkan </w:t>
            </w:r>
            <w:proofErr w:type="spellStart"/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Karakter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i</w:t>
            </w:r>
            <w:proofErr w:type="spellStart"/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stik</w:t>
            </w:r>
            <w:proofErr w:type="spellEnd"/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Majas</w:t>
            </w:r>
          </w:p>
          <w:p w14:paraId="1B991292" w14:textId="36E39B06" w:rsidR="001F22EA" w:rsidRPr="00CF0E72" w:rsidRDefault="001368E5" w:rsidP="00CF0E72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Menyebutkan </w:t>
            </w:r>
            <w:r w:rsidR="006531C1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Jenis Majas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1F22EA" w:rsidRPr="00A927B9" w:rsidRDefault="001F22EA" w:rsidP="001F22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5241C95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A283EBF" w14:textId="0A1F9212" w:rsidR="00E2130D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04FBF14B" w14:textId="17E83262" w:rsidR="00E2130D" w:rsidRPr="00CF0E72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Menjelaskan peribahasa dalam bahasa daerah dan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62A3CF" w14:textId="77777777" w:rsidR="00E2130D" w:rsidRPr="00CF0E72" w:rsidRDefault="00E2130D" w:rsidP="00E2130D">
            <w:pPr>
              <w:pStyle w:val="ListParagraph"/>
              <w:numPr>
                <w:ilvl w:val="1"/>
                <w:numId w:val="22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 w:eastAsia="en-US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Mendefinisiksn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peribahasa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menggunakan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kalimat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sendiri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secara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sederhana</w:t>
            </w:r>
            <w:proofErr w:type="spellEnd"/>
          </w:p>
          <w:p w14:paraId="36331F55" w14:textId="77777777" w:rsidR="00E2130D" w:rsidRPr="00CF0E72" w:rsidRDefault="00E2130D" w:rsidP="00E2130D">
            <w:pPr>
              <w:pStyle w:val="ListParagraph"/>
              <w:numPr>
                <w:ilvl w:val="1"/>
                <w:numId w:val="22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Menyebutkan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karakteristik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peribahasa</w:t>
            </w:r>
            <w:proofErr w:type="spellEnd"/>
          </w:p>
          <w:p w14:paraId="50647DCC" w14:textId="6245BF57" w:rsidR="00E2130D" w:rsidRPr="00CF0E72" w:rsidRDefault="00E2130D" w:rsidP="00E2130D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Menyebutkan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jenis-jenis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peribahasa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contohnya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2BC067F" w14:textId="77777777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A3AD3C0" w14:textId="625230B8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9B689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15C6DC6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DA4204" w14:textId="31EC3420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886B" w14:textId="77777777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55C42C0" w14:textId="3EE24419" w:rsidR="00E2130D" w:rsidRPr="00CF0E72" w:rsidRDefault="001368E5" w:rsidP="00E2130D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Mendefinisikan d</w:t>
            </w:r>
            <w:proofErr w:type="spellStart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efinisi</w:t>
            </w:r>
            <w:proofErr w:type="spellEnd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Peribahasa</w:t>
            </w:r>
            <w:proofErr w:type="spellEnd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</w:p>
          <w:p w14:paraId="40E8AA6C" w14:textId="77741AE0" w:rsidR="00E2130D" w:rsidRDefault="001368E5" w:rsidP="00E2130D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Menyebutkan k</w:t>
            </w:r>
            <w:proofErr w:type="spellStart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arakteristik</w:t>
            </w:r>
            <w:proofErr w:type="spellEnd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Peribahasa</w:t>
            </w:r>
            <w:proofErr w:type="spellEnd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</w:p>
          <w:p w14:paraId="2335392E" w14:textId="0C000357" w:rsidR="00E2130D" w:rsidRPr="00CF0E72" w:rsidRDefault="001368E5" w:rsidP="00E2130D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Menyebutkan contoh </w:t>
            </w:r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Jenis </w:t>
            </w:r>
            <w:proofErr w:type="spellStart"/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Peribahasa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4BDF580D" w14:textId="01057ECA" w:rsidR="00E2130D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57C6A909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7518831B" w14:textId="38DED929" w:rsidR="00E2130D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486AA496" w14:textId="33A1C4A4" w:rsidR="00E2130D" w:rsidRPr="00CF0E72" w:rsidRDefault="00E2130D" w:rsidP="00E2130D">
            <w:pPr>
              <w:ind w:left="14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Menjelaskan makna Lokusi, Ilokusi, dan Perlokusi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E38D90C" w14:textId="514D6AC0" w:rsidR="00E2130D" w:rsidRPr="00CF0E72" w:rsidRDefault="00E2130D" w:rsidP="00E2130D">
            <w:pPr>
              <w:pStyle w:val="ListParagraph"/>
              <w:numPr>
                <w:ilvl w:val="1"/>
                <w:numId w:val="41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Membedakan dan menyebutkan contoh makna lokusi, ilokusi, dan perlokusi</w:t>
            </w:r>
          </w:p>
        </w:tc>
        <w:tc>
          <w:tcPr>
            <w:tcW w:w="1842" w:type="dxa"/>
            <w:shd w:val="clear" w:color="auto" w:fill="auto"/>
          </w:tcPr>
          <w:p w14:paraId="138C8D91" w14:textId="77777777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25EB70EF" w14:textId="121FBB29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5856EA" w14:textId="77777777" w:rsidR="00E2130D" w:rsidRDefault="00E2130D" w:rsidP="00E2130D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87861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D4F0963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C0B43E5" w14:textId="0C28073D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7388FD1" w14:textId="6AADDB21" w:rsidR="00E2130D" w:rsidRPr="001368E5" w:rsidRDefault="001368E5" w:rsidP="001368E5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Membuat contoh untuk menjelaskan </w:t>
            </w:r>
            <w:r w:rsidR="00E2130D"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Makna Lokusi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Ilokusi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Perlokusi</w:t>
            </w:r>
          </w:p>
        </w:tc>
        <w:tc>
          <w:tcPr>
            <w:tcW w:w="1411" w:type="dxa"/>
            <w:shd w:val="clear" w:color="auto" w:fill="auto"/>
          </w:tcPr>
          <w:p w14:paraId="0FF226C9" w14:textId="6181B158" w:rsidR="00E2130D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59251CA7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AA2928E" w14:textId="31E1F118" w:rsidR="00E2130D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59DD292D" w14:textId="20B121FB" w:rsidR="00E2130D" w:rsidRPr="00CF0E72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Menjelaskan dan mengasosiasikan relasi makna dalam kosakata bahasa daerah atau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818A27" w14:textId="46716CFB" w:rsidR="00E2130D" w:rsidRPr="00CF0E72" w:rsidRDefault="00E2130D" w:rsidP="00E2130D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memberikan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contoh-contoh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dari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relasi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69970013" w14:textId="77777777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89DB5BC" w14:textId="60EABE0E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51D6A5" w14:textId="77777777" w:rsidR="00E2130D" w:rsidRDefault="00E2130D" w:rsidP="00E2130D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A74C4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044E7998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FA4609F" w14:textId="519B6F65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01B5DB9" w14:textId="1FAB09FB" w:rsidR="00E2130D" w:rsidRPr="001368E5" w:rsidRDefault="001368E5" w:rsidP="001368E5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 w:eastAsia="en-US"/>
              </w:rPr>
              <w:t xml:space="preserve">Menjelaskan dan menyebutkan contoh dar </w:t>
            </w:r>
            <w:proofErr w:type="spellStart"/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Sinonim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,</w:t>
            </w:r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Antonym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Polisemi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Homonim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Hiponim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E2130D" w:rsidRPr="001368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Redunsasi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24E75142" w14:textId="2FDC84D6" w:rsidR="00E2130D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4C4C360B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2A951361" w:rsidR="00E2130D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11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3B82E934" w14:textId="1740A8C1" w:rsidR="00E2130D" w:rsidRPr="008B4DA7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8393A85" w14:textId="77777777" w:rsidR="00E2130D" w:rsidRPr="008B4DA7" w:rsidRDefault="00E2130D" w:rsidP="00E2130D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428D6506" w14:textId="57DE3A45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E2130D" w:rsidRPr="008B4DA7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ED87E4" w14:textId="22A882F3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12E47F94" w:rsidR="00E2130D" w:rsidRPr="008B4DA7" w:rsidRDefault="00E2130D" w:rsidP="00E2130D">
            <w:pPr>
              <w:pStyle w:val="ListParagraph"/>
              <w:ind w:left="308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</w:t>
            </w:r>
            <w:r w:rsidR="001368E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enuliskan majas, peribahasa, lokusi, ilokusi, dan perlokusi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E2130D" w:rsidRPr="00A927B9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E2130D" w14:paraId="241A1B35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3A0A026" w14:textId="053D1C85" w:rsidR="00E2130D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142C94F2" w14:textId="3E1BF9D3" w:rsidR="00E2130D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Menjelaskan dan membedakan medan dan komponen makan kosakata bahasa daerah dan bahaa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D5AB1CD" w14:textId="524BF835" w:rsidR="00E2130D" w:rsidRPr="008B4DA7" w:rsidRDefault="00E2130D" w:rsidP="00E2130D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membedakan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memberikan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contoh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tentang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medan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komponen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kosakata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477DD9F4" w14:textId="77777777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B63CD8D" w14:textId="421F312B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D19062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E1C0F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F773255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89CEAAC" w14:textId="2AD2BA47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7140EFA3" w14:textId="08B1AD42" w:rsidR="00E2130D" w:rsidRDefault="00E2130D" w:rsidP="00E2130D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Menjelaskan </w:t>
            </w:r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Medan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Makna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 dalam kosakata bahasa Indonesia</w:t>
            </w:r>
          </w:p>
          <w:p w14:paraId="36E3B80E" w14:textId="652F5E79" w:rsidR="00E2130D" w:rsidRPr="008B4DA7" w:rsidRDefault="00E2130D" w:rsidP="00E2130D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Menjelaskan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Komponen</w:t>
            </w:r>
            <w:proofErr w:type="spellEnd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  <w:t>Makna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 kosakata bahasa Indonesia</w:t>
            </w:r>
          </w:p>
        </w:tc>
        <w:tc>
          <w:tcPr>
            <w:tcW w:w="1411" w:type="dxa"/>
            <w:shd w:val="clear" w:color="auto" w:fill="auto"/>
          </w:tcPr>
          <w:p w14:paraId="5918B665" w14:textId="2EDFCDD5" w:rsidR="00E2130D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6F4802B9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6F027A5A" w:rsidR="00E2130D" w:rsidRPr="00A927B9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0C9188B0" w14:textId="4C900BCC" w:rsidR="00E2130D" w:rsidRPr="00CF0E72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Menjabarkan proses perubahan makna dalam bahasa daerah dan bahasa Indonesia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63581C8" w14:textId="54E86306" w:rsidR="00E2130D" w:rsidRPr="00CF0E72" w:rsidRDefault="00E2130D" w:rsidP="00E2130D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Menyebutkan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menjelaskan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mengasosiasikan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faktor-faktor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penyebab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perubahan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bentuk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perubahannya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memberikan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contoh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Indonesia</w:t>
            </w:r>
          </w:p>
        </w:tc>
        <w:tc>
          <w:tcPr>
            <w:tcW w:w="1842" w:type="dxa"/>
            <w:shd w:val="clear" w:color="auto" w:fill="auto"/>
          </w:tcPr>
          <w:p w14:paraId="555AC6AC" w14:textId="77777777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DC0B831" w14:textId="16848556" w:rsidR="00E2130D" w:rsidRPr="008B4DA7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E2130D" w:rsidRPr="00A927B9" w:rsidRDefault="00E2130D" w:rsidP="00E2130D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5C1F1BC" w14:textId="6FC3A787" w:rsidR="00E2130D" w:rsidRPr="006531C1" w:rsidRDefault="00E2130D" w:rsidP="00E2130D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Menyebutkna f</w:t>
            </w:r>
            <w:r w:rsidRPr="006531C1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aktor Penyebab Perubahan Makna </w:t>
            </w:r>
          </w:p>
          <w:p w14:paraId="3C4D389A" w14:textId="6EA2365C" w:rsidR="00E2130D" w:rsidRPr="008B4DA7" w:rsidRDefault="00E2130D" w:rsidP="00E2130D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</w:t>
            </w:r>
            <w:r w:rsidRPr="006531C1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Bentuk-Bentuk Perubahan Makna dalam Bahasa Indonesia</w:t>
            </w:r>
          </w:p>
        </w:tc>
        <w:tc>
          <w:tcPr>
            <w:tcW w:w="1411" w:type="dxa"/>
            <w:shd w:val="clear" w:color="auto" w:fill="auto"/>
          </w:tcPr>
          <w:p w14:paraId="7981452F" w14:textId="7C8439A3" w:rsidR="00E2130D" w:rsidRPr="00A927B9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7082D673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635FD4B7" w:rsidR="00E2130D" w:rsidRPr="00A927B9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4C51A044" w14:textId="7D142E01" w:rsidR="00E2130D" w:rsidRPr="00CF0E72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Menyusun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karya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tulis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ilmiah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tentang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kajian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semantik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maupun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727E3D45" w14:textId="0195FF2E" w:rsidR="00E2130D" w:rsidRPr="00CF0E72" w:rsidRDefault="00E2130D" w:rsidP="00E2130D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Menyusun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artikel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tentang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jenis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relasi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medan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komponen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relasi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perubahan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makna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dalam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daerah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atau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>bahasa</w:t>
            </w:r>
            <w:proofErr w:type="spellEnd"/>
            <w:r w:rsidRPr="00CF0E72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84DD11F" w14:textId="27617B3A" w:rsidR="00E2130D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700187D5" w14:textId="46073EB1" w:rsidR="00E2130D" w:rsidRPr="008B4DA7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Pratik menulis KTI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5818D9C6" w14:textId="77777777" w:rsidR="00E2130D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5C4FBAE" w14:textId="4C676B41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FB14" w14:textId="77777777" w:rsidR="00E2130D" w:rsidRPr="008B4DA7" w:rsidRDefault="00E2130D" w:rsidP="00E2130D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7468294C" w14:textId="45904772" w:rsidR="00E2130D" w:rsidRPr="006531C1" w:rsidRDefault="00E2130D" w:rsidP="00E2130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Mempresentasikan tulisan ilmiah mahasiswa tentang observasi pada bidang semantik yang telah dilakukan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B052C56" w14:textId="3889E9CD" w:rsidR="00E2130D" w:rsidRPr="00A927B9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E2130D" w14:paraId="2733E0DB" w14:textId="77777777" w:rsidTr="00045790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04CAEBFB" w:rsidR="00E2130D" w:rsidRPr="00A927B9" w:rsidRDefault="00E2130D" w:rsidP="00E2130D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4FF8E23" w14:textId="18E03DE6" w:rsidR="00E2130D" w:rsidRPr="008B4DA7" w:rsidRDefault="00E2130D" w:rsidP="00E2130D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AFCDD2A" w14:textId="771A6CC2" w:rsidR="00E2130D" w:rsidRPr="008B4DA7" w:rsidRDefault="00E2130D" w:rsidP="00E2130D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BD3EE5" w14:textId="1EFCF50E" w:rsidR="00E2130D" w:rsidRPr="008B4DA7" w:rsidRDefault="00E2130D" w:rsidP="00E2130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422983A" w14:textId="3429FF62" w:rsidR="00E2130D" w:rsidRPr="00A927B9" w:rsidRDefault="00E2130D" w:rsidP="00E2130D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36DC62" w14:textId="1E758DCB" w:rsidR="00E2130D" w:rsidRPr="008B4DA7" w:rsidRDefault="00E2130D" w:rsidP="00E2130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49B18A6C" w14:textId="35B6C9ED" w:rsidR="00E2130D" w:rsidRPr="008B4DA7" w:rsidRDefault="00E2130D" w:rsidP="00E2130D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3B181D96" w14:textId="1ECD78AB" w:rsidR="00E2130D" w:rsidRPr="00A927B9" w:rsidRDefault="00E2130D" w:rsidP="00E2130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2130D" w14:paraId="3D9DAC2F" w14:textId="77777777" w:rsidTr="00D54CF1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E2130D" w:rsidRPr="00A927B9" w:rsidRDefault="00E2130D" w:rsidP="00E2130D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586" w:type="dxa"/>
            <w:gridSpan w:val="12"/>
            <w:tcBorders>
              <w:bottom w:val="single" w:sz="4" w:space="0" w:color="000000"/>
            </w:tcBorders>
            <w:shd w:val="clear" w:color="auto" w:fill="E7E6E6"/>
          </w:tcPr>
          <w:p w14:paraId="6AB3C85C" w14:textId="322CBFD5" w:rsidR="00E2130D" w:rsidRPr="00A927B9" w:rsidRDefault="00E2130D" w:rsidP="00E2130D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UAS : Tugas Akhir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E2130D" w:rsidRPr="00A927B9" w:rsidRDefault="00E2130D" w:rsidP="00E2130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3E8ABC8D" w:rsidR="008041F3" w:rsidRDefault="008041F3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proofErr w:type="spellStart"/>
      <w:r>
        <w:lastRenderedPageBreak/>
        <w:t>Penilaian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Konfigurasi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Penilaian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Kisaran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Bobot</w:t>
            </w:r>
            <w:proofErr w:type="spellEnd"/>
            <w:r>
              <w:rPr>
                <w:rFonts w:ascii="Carlito" w:eastAsia="Carlito" w:hAnsi="Carlito" w:cs="Carlito"/>
                <w:b/>
                <w:color w:val="000000"/>
              </w:rPr>
              <w:t xml:space="preserve">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  <w:proofErr w:type="spellEnd"/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color w:val="000000"/>
              </w:rPr>
              <w:t>Tugas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/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Kelompok</w:t>
            </w:r>
            <w:proofErr w:type="spellEnd"/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Ujian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Ujian</w:t>
            </w:r>
            <w:proofErr w:type="spellEnd"/>
            <w:r>
              <w:rPr>
                <w:rFonts w:ascii="Carlito" w:eastAsia="Carlito" w:hAnsi="Carlito" w:cs="Carlito"/>
                <w:color w:val="000000"/>
              </w:rPr>
              <w:t xml:space="preserve">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Nilai </w:t>
            </w:r>
            <w:proofErr w:type="spellStart"/>
            <w:r>
              <w:rPr>
                <w:rFonts w:ascii="Carlito" w:eastAsia="Carlito" w:hAnsi="Carlito" w:cs="Carlito"/>
                <w:color w:val="000000"/>
              </w:rPr>
              <w:t>Individu</w:t>
            </w:r>
            <w:proofErr w:type="spellEnd"/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 xml:space="preserve">Baik </w:t>
            </w:r>
            <w:proofErr w:type="spellStart"/>
            <w:r>
              <w:rPr>
                <w:color w:val="000000"/>
              </w:rPr>
              <w:t>Sekali</w:t>
            </w:r>
            <w:proofErr w:type="spellEnd"/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Cukup</w:t>
            </w:r>
            <w:proofErr w:type="spellEnd"/>
            <w:r>
              <w:rPr>
                <w:color w:val="000000"/>
              </w:rPr>
              <w:t xml:space="preserve">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 xml:space="preserve">Kurang Baik </w:t>
            </w:r>
            <w:proofErr w:type="spellStart"/>
            <w:r>
              <w:rPr>
                <w:color w:val="000000"/>
              </w:rPr>
              <w:t>Sekali</w:t>
            </w:r>
            <w:proofErr w:type="spellEnd"/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Rubrik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Makalah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Presentasi</w:t>
      </w:r>
      <w:proofErr w:type="spellEnd"/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Bentuk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Kriteria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Indikator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Persentase</w:t>
            </w:r>
            <w:proofErr w:type="spellEnd"/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Organisasi</w:t>
            </w:r>
            <w:proofErr w:type="spellEnd"/>
            <w:r>
              <w:rPr>
                <w:color w:val="000000"/>
              </w:rPr>
              <w:t xml:space="preserve"> Isi (</w:t>
            </w:r>
            <w:proofErr w:type="spellStart"/>
            <w:r>
              <w:rPr>
                <w:color w:val="000000"/>
              </w:rPr>
              <w:t>Sistematika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 xml:space="preserve">Makalah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templat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 xml:space="preserve">Makalah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template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Pendahuluan</w:t>
            </w:r>
            <w:proofErr w:type="spellEnd"/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belakang</w:t>
            </w:r>
            <w:proofErr w:type="spellEnd"/>
            <w:r>
              <w:rPr>
                <w:color w:val="000000"/>
              </w:rPr>
              <w:t xml:space="preserve">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permasalahan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dibahas</w:t>
            </w:r>
            <w:proofErr w:type="spellEnd"/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Isi (Kajian Teori dan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berkaitan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mutakhir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terpercaya</w:t>
            </w:r>
            <w:proofErr w:type="spellEnd"/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contoh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faktual</w:t>
            </w:r>
            <w:proofErr w:type="spellEnd"/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Mencantumkan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kutipan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Penutup</w:t>
            </w:r>
            <w:proofErr w:type="spellEnd"/>
            <w:r>
              <w:rPr>
                <w:color w:val="000000"/>
              </w:rPr>
              <w:t xml:space="preserve"> dan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simpulan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disajikan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makalah</w:t>
            </w:r>
            <w:proofErr w:type="spellEnd"/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Menuliskan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setidaknya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ketentuan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penulisan</w:t>
            </w:r>
            <w:proofErr w:type="spellEnd"/>
            <w:r>
              <w:rPr>
                <w:color w:val="000000"/>
              </w:rPr>
              <w:t xml:space="preserve"> daftar </w:t>
            </w:r>
            <w:proofErr w:type="spellStart"/>
            <w:r>
              <w:rPr>
                <w:color w:val="000000"/>
              </w:rPr>
              <w:t>pustaka</w:t>
            </w:r>
            <w:proofErr w:type="spellEnd"/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Presentasi</w:t>
            </w:r>
            <w:proofErr w:type="spellEnd"/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Pembukaan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Penutup</w:t>
            </w:r>
            <w:proofErr w:type="spellEnd"/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kemudian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judul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menyimpulkan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menutup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salam</w:t>
            </w:r>
            <w:proofErr w:type="spellEnd"/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Penyajian</w:t>
            </w:r>
            <w:proofErr w:type="spellEnd"/>
            <w:r>
              <w:rPr>
                <w:color w:val="000000"/>
              </w:rPr>
              <w:t xml:space="preserve">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PPT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desain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menarik</w:t>
            </w:r>
            <w:proofErr w:type="spellEnd"/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PPT </w:t>
            </w:r>
            <w:proofErr w:type="spellStart"/>
            <w:r>
              <w:rPr>
                <w:color w:val="000000"/>
              </w:rPr>
              <w:t>disusun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singkat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jelas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padat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dipahami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makalah</w:t>
            </w:r>
            <w:proofErr w:type="spellEnd"/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Penyampaian</w:t>
            </w:r>
            <w:proofErr w:type="spellEnd"/>
            <w:r>
              <w:rPr>
                <w:color w:val="000000"/>
              </w:rPr>
              <w:t xml:space="preserve"> Materi dan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jelas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dipahami</w:t>
            </w:r>
            <w:proofErr w:type="spellEnd"/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menyediakan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cukup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kegiatan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cepat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tepat</w:t>
            </w:r>
            <w:proofErr w:type="spellEnd"/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berpenampilan</w:t>
            </w:r>
            <w:proofErr w:type="spellEnd"/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santun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memantik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menanggapi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</w:t>
            </w:r>
            <w:proofErr w:type="spellStart"/>
            <w:r>
              <w:rPr>
                <w:color w:val="000000"/>
              </w:rPr>
              <w:t>bertanggung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menjaga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ketertiban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jalannya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Penyaji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tenggang</w:t>
            </w:r>
            <w:proofErr w:type="spellEnd"/>
            <w:r>
              <w:rPr>
                <w:color w:val="000000"/>
              </w:rPr>
              <w:t xml:space="preserve"> rasa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bekerja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penyusunan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penyajian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F2103"/>
    <w:multiLevelType w:val="hybridMultilevel"/>
    <w:tmpl w:val="3042D32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B1CC2"/>
    <w:multiLevelType w:val="multilevel"/>
    <w:tmpl w:val="C66A71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4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FC56A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A5632"/>
    <w:multiLevelType w:val="hybridMultilevel"/>
    <w:tmpl w:val="E61E915A"/>
    <w:lvl w:ilvl="0" w:tplc="0421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761C13"/>
    <w:multiLevelType w:val="hybridMultilevel"/>
    <w:tmpl w:val="72D6D61A"/>
    <w:lvl w:ilvl="0" w:tplc="0421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E5C4CE8"/>
    <w:multiLevelType w:val="multilevel"/>
    <w:tmpl w:val="C5DACE32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4"/>
        <w:szCs w:val="14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14" w15:restartNumberingAfterBreak="0">
    <w:nsid w:val="313F08CF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5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B603F7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7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94D"/>
    <w:multiLevelType w:val="multilevel"/>
    <w:tmpl w:val="96DAC4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9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AB95114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36B792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1C3D82"/>
    <w:multiLevelType w:val="hybridMultilevel"/>
    <w:tmpl w:val="A8D0D9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29E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8A7AC8"/>
    <w:multiLevelType w:val="hybridMultilevel"/>
    <w:tmpl w:val="3034B0A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990A50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63656BC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6F6C24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35" w15:restartNumberingAfterBreak="0">
    <w:nsid w:val="72FC0909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78BF153C"/>
    <w:multiLevelType w:val="hybridMultilevel"/>
    <w:tmpl w:val="9C701BB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65179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D82811"/>
    <w:multiLevelType w:val="multilevel"/>
    <w:tmpl w:val="A04C07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39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F593D6A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num w:numId="1" w16cid:durableId="1271667408">
    <w:abstractNumId w:val="34"/>
  </w:num>
  <w:num w:numId="2" w16cid:durableId="987244585">
    <w:abstractNumId w:val="22"/>
  </w:num>
  <w:num w:numId="3" w16cid:durableId="434792443">
    <w:abstractNumId w:val="17"/>
  </w:num>
  <w:num w:numId="4" w16cid:durableId="538980050">
    <w:abstractNumId w:val="11"/>
  </w:num>
  <w:num w:numId="5" w16cid:durableId="1056733348">
    <w:abstractNumId w:val="13"/>
  </w:num>
  <w:num w:numId="6" w16cid:durableId="1346907958">
    <w:abstractNumId w:val="4"/>
  </w:num>
  <w:num w:numId="7" w16cid:durableId="546259822">
    <w:abstractNumId w:val="5"/>
  </w:num>
  <w:num w:numId="8" w16cid:durableId="1578242138">
    <w:abstractNumId w:val="40"/>
  </w:num>
  <w:num w:numId="9" w16cid:durableId="1628045770">
    <w:abstractNumId w:val="0"/>
  </w:num>
  <w:num w:numId="10" w16cid:durableId="1509908472">
    <w:abstractNumId w:val="33"/>
  </w:num>
  <w:num w:numId="11" w16cid:durableId="1936790826">
    <w:abstractNumId w:val="12"/>
  </w:num>
  <w:num w:numId="12" w16cid:durableId="122771806">
    <w:abstractNumId w:val="19"/>
  </w:num>
  <w:num w:numId="13" w16cid:durableId="1322198708">
    <w:abstractNumId w:val="29"/>
  </w:num>
  <w:num w:numId="14" w16cid:durableId="896748305">
    <w:abstractNumId w:val="39"/>
  </w:num>
  <w:num w:numId="15" w16cid:durableId="1360666944">
    <w:abstractNumId w:val="25"/>
  </w:num>
  <w:num w:numId="16" w16cid:durableId="842597165">
    <w:abstractNumId w:val="15"/>
  </w:num>
  <w:num w:numId="17" w16cid:durableId="303971390">
    <w:abstractNumId w:val="9"/>
  </w:num>
  <w:num w:numId="18" w16cid:durableId="1238128179">
    <w:abstractNumId w:val="7"/>
  </w:num>
  <w:num w:numId="19" w16cid:durableId="203176869">
    <w:abstractNumId w:val="24"/>
  </w:num>
  <w:num w:numId="20" w16cid:durableId="1854950369">
    <w:abstractNumId w:val="21"/>
  </w:num>
  <w:num w:numId="21" w16cid:durableId="529804093">
    <w:abstractNumId w:val="2"/>
  </w:num>
  <w:num w:numId="22" w16cid:durableId="1332635384">
    <w:abstractNumId w:val="37"/>
  </w:num>
  <w:num w:numId="23" w16cid:durableId="969436045">
    <w:abstractNumId w:val="20"/>
  </w:num>
  <w:num w:numId="24" w16cid:durableId="396560169">
    <w:abstractNumId w:val="27"/>
  </w:num>
  <w:num w:numId="25" w16cid:durableId="1409810836">
    <w:abstractNumId w:val="23"/>
  </w:num>
  <w:num w:numId="26" w16cid:durableId="348796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96604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702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27115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196183">
    <w:abstractNumId w:val="31"/>
  </w:num>
  <w:num w:numId="31" w16cid:durableId="517276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921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568770">
    <w:abstractNumId w:val="26"/>
  </w:num>
  <w:num w:numId="34" w16cid:durableId="799030861">
    <w:abstractNumId w:val="8"/>
  </w:num>
  <w:num w:numId="35" w16cid:durableId="171652434">
    <w:abstractNumId w:val="1"/>
  </w:num>
  <w:num w:numId="36" w16cid:durableId="452289112">
    <w:abstractNumId w:val="36"/>
  </w:num>
  <w:num w:numId="37" w16cid:durableId="1902867352">
    <w:abstractNumId w:val="28"/>
  </w:num>
  <w:num w:numId="38" w16cid:durableId="67129546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1938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271068">
    <w:abstractNumId w:val="1"/>
  </w:num>
  <w:num w:numId="41" w16cid:durableId="941956633">
    <w:abstractNumId w:val="6"/>
  </w:num>
  <w:num w:numId="42" w16cid:durableId="1864513069">
    <w:abstractNumId w:val="10"/>
  </w:num>
  <w:num w:numId="43" w16cid:durableId="9425416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30150"/>
    <w:rsid w:val="00067B5A"/>
    <w:rsid w:val="00087A7C"/>
    <w:rsid w:val="000E7DA3"/>
    <w:rsid w:val="001368E5"/>
    <w:rsid w:val="001410F6"/>
    <w:rsid w:val="001C3D06"/>
    <w:rsid w:val="001F22EA"/>
    <w:rsid w:val="002414EE"/>
    <w:rsid w:val="003345BF"/>
    <w:rsid w:val="00350FCF"/>
    <w:rsid w:val="003C4D60"/>
    <w:rsid w:val="00442B0A"/>
    <w:rsid w:val="005432FC"/>
    <w:rsid w:val="006531C1"/>
    <w:rsid w:val="006555DB"/>
    <w:rsid w:val="0067791C"/>
    <w:rsid w:val="006D1A91"/>
    <w:rsid w:val="006E5AF7"/>
    <w:rsid w:val="00711460"/>
    <w:rsid w:val="0078235F"/>
    <w:rsid w:val="008041F3"/>
    <w:rsid w:val="00843782"/>
    <w:rsid w:val="008831F9"/>
    <w:rsid w:val="008B4DA7"/>
    <w:rsid w:val="008F627D"/>
    <w:rsid w:val="00950EDC"/>
    <w:rsid w:val="009D5BF7"/>
    <w:rsid w:val="00A927B9"/>
    <w:rsid w:val="00B62E46"/>
    <w:rsid w:val="00C10F48"/>
    <w:rsid w:val="00C453E2"/>
    <w:rsid w:val="00CC1C87"/>
    <w:rsid w:val="00CE094A"/>
    <w:rsid w:val="00CF0E72"/>
    <w:rsid w:val="00DC7829"/>
    <w:rsid w:val="00E1197A"/>
    <w:rsid w:val="00E2130D"/>
    <w:rsid w:val="00EF1E35"/>
    <w:rsid w:val="00F2219B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2023-11-24T02:56:00Z</dcterms:created>
  <dcterms:modified xsi:type="dcterms:W3CDTF">2023-11-24T02:56:00Z</dcterms:modified>
</cp:coreProperties>
</file>